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0B" w:rsidRPr="008E659F" w:rsidRDefault="006E294B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E659F">
        <w:rPr>
          <w:rFonts w:ascii="Arial" w:hAnsi="Arial" w:cs="Arial"/>
          <w:sz w:val="22"/>
          <w:szCs w:val="22"/>
        </w:rPr>
        <w:t xml:space="preserve">The State Penalties Enforcement Registry (SPER) has been responsible for collecting </w:t>
      </w:r>
      <w:r w:rsidR="00DD31B5">
        <w:rPr>
          <w:rFonts w:ascii="Arial" w:hAnsi="Arial" w:cs="Arial"/>
          <w:sz w:val="22"/>
          <w:szCs w:val="22"/>
        </w:rPr>
        <w:t xml:space="preserve">and enforcing </w:t>
      </w:r>
      <w:r w:rsidRPr="008E659F">
        <w:rPr>
          <w:rFonts w:ascii="Arial" w:hAnsi="Arial" w:cs="Arial"/>
          <w:sz w:val="22"/>
          <w:szCs w:val="22"/>
        </w:rPr>
        <w:t xml:space="preserve">unpaid fines in </w:t>
      </w:r>
      <w:smartTag w:uri="urn:schemas-microsoft-com:office:smarttags" w:element="place">
        <w:smartTag w:uri="urn:schemas-microsoft-com:office:smarttags" w:element="State">
          <w:r w:rsidRPr="008E659F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8E659F">
        <w:rPr>
          <w:rFonts w:ascii="Arial" w:hAnsi="Arial" w:cs="Arial"/>
          <w:sz w:val="22"/>
          <w:szCs w:val="22"/>
        </w:rPr>
        <w:t xml:space="preserve"> since 2000.</w:t>
      </w:r>
      <w:r w:rsidR="00453B0B" w:rsidRPr="008E659F">
        <w:rPr>
          <w:rFonts w:ascii="Arial" w:hAnsi="Arial" w:cs="Arial"/>
          <w:bCs/>
        </w:rPr>
        <w:t xml:space="preserve">  </w:t>
      </w:r>
      <w:r w:rsidR="00453B0B" w:rsidRPr="008E659F">
        <w:rPr>
          <w:rFonts w:ascii="Arial" w:hAnsi="Arial" w:cs="Arial"/>
          <w:sz w:val="22"/>
          <w:szCs w:val="22"/>
        </w:rPr>
        <w:t>It provides debtors with a wide range of flexible payment options to facilitate compliance by debtors.</w:t>
      </w:r>
    </w:p>
    <w:p w:rsidR="00453B0B" w:rsidRPr="008E659F" w:rsidRDefault="00453B0B" w:rsidP="00453B0B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E659F">
        <w:rPr>
          <w:rFonts w:ascii="Arial" w:hAnsi="Arial" w:cs="Arial"/>
          <w:sz w:val="22"/>
          <w:szCs w:val="22"/>
        </w:rPr>
        <w:t>SPER</w:t>
      </w:r>
      <w:r w:rsidR="006E294B" w:rsidRPr="008E659F">
        <w:rPr>
          <w:rFonts w:ascii="Arial" w:hAnsi="Arial" w:cs="Arial"/>
          <w:sz w:val="22"/>
          <w:szCs w:val="22"/>
        </w:rPr>
        <w:t xml:space="preserve"> recovers court ordered fines, which are </w:t>
      </w:r>
      <w:r w:rsidR="00DD31B5">
        <w:rPr>
          <w:rFonts w:ascii="Arial" w:hAnsi="Arial" w:cs="Arial"/>
          <w:sz w:val="22"/>
          <w:szCs w:val="22"/>
        </w:rPr>
        <w:t xml:space="preserve">generally </w:t>
      </w:r>
      <w:r w:rsidR="006E294B" w:rsidRPr="008E659F">
        <w:rPr>
          <w:rFonts w:ascii="Arial" w:hAnsi="Arial" w:cs="Arial"/>
          <w:sz w:val="22"/>
          <w:szCs w:val="22"/>
        </w:rPr>
        <w:t xml:space="preserve">paid into consolidated revenue, and court ordered restitution or compensation which is paid to victims of crime. </w:t>
      </w:r>
      <w:r w:rsidRPr="008E659F">
        <w:rPr>
          <w:rFonts w:ascii="Arial" w:hAnsi="Arial" w:cs="Arial"/>
          <w:sz w:val="22"/>
          <w:szCs w:val="22"/>
        </w:rPr>
        <w:t xml:space="preserve">The effective enforcement of court fines reduces pressure on the courts by removing lower level offences from the court system.  </w:t>
      </w:r>
    </w:p>
    <w:p w:rsidR="006E294B" w:rsidRPr="008E659F" w:rsidRDefault="00453B0B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E659F">
        <w:rPr>
          <w:rFonts w:ascii="Arial" w:hAnsi="Arial" w:cs="Arial"/>
          <w:sz w:val="22"/>
          <w:szCs w:val="22"/>
        </w:rPr>
        <w:t>SPER</w:t>
      </w:r>
      <w:r w:rsidR="006E294B" w:rsidRPr="008E659F">
        <w:rPr>
          <w:rFonts w:ascii="Arial" w:hAnsi="Arial" w:cs="Arial"/>
          <w:sz w:val="22"/>
          <w:szCs w:val="22"/>
        </w:rPr>
        <w:t xml:space="preserve"> also recovers </w:t>
      </w:r>
      <w:r w:rsidR="00DD31B5">
        <w:rPr>
          <w:rFonts w:ascii="Arial" w:hAnsi="Arial" w:cs="Arial"/>
          <w:sz w:val="22"/>
          <w:szCs w:val="22"/>
        </w:rPr>
        <w:t xml:space="preserve">unpaid </w:t>
      </w:r>
      <w:r w:rsidR="006E294B" w:rsidRPr="008E659F">
        <w:rPr>
          <w:rFonts w:ascii="Arial" w:hAnsi="Arial" w:cs="Arial"/>
          <w:sz w:val="22"/>
          <w:szCs w:val="22"/>
        </w:rPr>
        <w:t>infringement notice penalties issued by state government agencies and other administering authorities (for example local authorities).</w:t>
      </w:r>
    </w:p>
    <w:p w:rsidR="00D56154" w:rsidRPr="008E659F" w:rsidRDefault="00D56154" w:rsidP="003952CD">
      <w:pPr>
        <w:numPr>
          <w:ilvl w:val="0"/>
          <w:numId w:val="6"/>
        </w:numPr>
        <w:tabs>
          <w:tab w:val="clear" w:pos="720"/>
          <w:tab w:val="num" w:pos="360"/>
        </w:tabs>
        <w:spacing w:before="240" w:after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E659F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8E659F">
        <w:rPr>
          <w:rFonts w:ascii="Arial" w:hAnsi="Arial" w:cs="Arial"/>
          <w:bCs/>
          <w:spacing w:val="-3"/>
          <w:sz w:val="22"/>
          <w:szCs w:val="22"/>
        </w:rPr>
        <w:t xml:space="preserve"> the following activities to facilitate debtor compliance and enhance enforcement:</w:t>
      </w:r>
    </w:p>
    <w:p w:rsidR="00453B0B" w:rsidRPr="008E659F" w:rsidRDefault="008E659F" w:rsidP="003952CD">
      <w:pPr>
        <w:widowControl w:val="0"/>
        <w:numPr>
          <w:ilvl w:val="1"/>
          <w:numId w:val="6"/>
        </w:numPr>
        <w:tabs>
          <w:tab w:val="clear" w:pos="1440"/>
          <w:tab w:val="num" w:pos="900"/>
          <w:tab w:val="num" w:pos="1701"/>
        </w:tabs>
        <w:spacing w:after="240"/>
        <w:ind w:left="900" w:hanging="540"/>
        <w:jc w:val="both"/>
        <w:rPr>
          <w:rFonts w:ascii="Arial" w:hAnsi="Arial" w:cs="Arial"/>
          <w:sz w:val="22"/>
          <w:szCs w:val="22"/>
        </w:rPr>
      </w:pPr>
      <w:r w:rsidRPr="008E659F">
        <w:rPr>
          <w:rFonts w:ascii="Arial" w:hAnsi="Arial" w:cs="Arial"/>
          <w:sz w:val="22"/>
          <w:szCs w:val="22"/>
        </w:rPr>
        <w:t xml:space="preserve">amending the </w:t>
      </w:r>
      <w:r w:rsidRPr="008E659F">
        <w:rPr>
          <w:rFonts w:ascii="Arial" w:hAnsi="Arial" w:cs="Arial"/>
          <w:i/>
          <w:sz w:val="22"/>
          <w:szCs w:val="22"/>
        </w:rPr>
        <w:t>State Penalties Enforcement Act 1999</w:t>
      </w:r>
      <w:r w:rsidRPr="008E659F">
        <w:rPr>
          <w:rFonts w:ascii="Arial" w:hAnsi="Arial" w:cs="Arial"/>
          <w:sz w:val="22"/>
          <w:szCs w:val="22"/>
        </w:rPr>
        <w:t xml:space="preserve"> to lower the threshold for recovery via Register of Encumbered Vehicles warrants from $1,000 to $500; </w:t>
      </w:r>
      <w:r w:rsidR="00453B0B" w:rsidRPr="008E659F">
        <w:rPr>
          <w:rFonts w:ascii="Arial" w:hAnsi="Arial" w:cs="Arial"/>
          <w:sz w:val="22"/>
          <w:szCs w:val="22"/>
        </w:rPr>
        <w:t xml:space="preserve"> </w:t>
      </w:r>
      <w:r w:rsidR="00124675">
        <w:rPr>
          <w:rFonts w:ascii="Arial" w:hAnsi="Arial" w:cs="Arial"/>
          <w:sz w:val="22"/>
          <w:szCs w:val="22"/>
        </w:rPr>
        <w:t>and</w:t>
      </w:r>
    </w:p>
    <w:p w:rsidR="00124675" w:rsidRDefault="008E659F" w:rsidP="00D56154">
      <w:pPr>
        <w:widowControl w:val="0"/>
        <w:numPr>
          <w:ilvl w:val="1"/>
          <w:numId w:val="6"/>
        </w:numPr>
        <w:tabs>
          <w:tab w:val="clear" w:pos="1440"/>
          <w:tab w:val="num" w:pos="900"/>
          <w:tab w:val="num" w:pos="1701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8E659F">
        <w:rPr>
          <w:rFonts w:ascii="Arial" w:hAnsi="Arial" w:cs="Arial"/>
          <w:sz w:val="22"/>
          <w:szCs w:val="22"/>
        </w:rPr>
        <w:t xml:space="preserve">amending the </w:t>
      </w:r>
      <w:r w:rsidRPr="008E659F">
        <w:rPr>
          <w:rFonts w:ascii="Arial" w:hAnsi="Arial" w:cs="Arial"/>
          <w:i/>
          <w:sz w:val="22"/>
          <w:szCs w:val="22"/>
        </w:rPr>
        <w:t>State Penalties Enforcement Act 1999</w:t>
      </w:r>
      <w:r w:rsidRPr="008E659F">
        <w:rPr>
          <w:rFonts w:ascii="Arial" w:hAnsi="Arial" w:cs="Arial"/>
          <w:sz w:val="22"/>
          <w:szCs w:val="22"/>
        </w:rPr>
        <w:t xml:space="preserve"> to give the State Penalties Enforcement Register express power to issue statutor</w:t>
      </w:r>
      <w:r w:rsidR="00124675">
        <w:rPr>
          <w:rFonts w:ascii="Arial" w:hAnsi="Arial" w:cs="Arial"/>
          <w:sz w:val="22"/>
          <w:szCs w:val="22"/>
        </w:rPr>
        <w:t>y notices to wind-up companies.</w:t>
      </w:r>
    </w:p>
    <w:p w:rsidR="00124675" w:rsidRDefault="00124675" w:rsidP="00124675">
      <w:pPr>
        <w:widowControl w:val="0"/>
        <w:tabs>
          <w:tab w:val="num" w:pos="1701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3952CD" w:rsidRDefault="00124675" w:rsidP="003952CD">
      <w:pPr>
        <w:widowControl w:val="0"/>
        <w:tabs>
          <w:tab w:val="left" w:pos="360"/>
          <w:tab w:val="num" w:pos="1701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Pr="003952CD">
        <w:rPr>
          <w:rFonts w:ascii="Arial" w:hAnsi="Arial" w:cs="Arial"/>
          <w:i/>
          <w:sz w:val="22"/>
          <w:szCs w:val="22"/>
          <w:u w:val="single"/>
        </w:rPr>
        <w:t>Attachments</w:t>
      </w:r>
      <w:r>
        <w:rPr>
          <w:rFonts w:ascii="Arial" w:hAnsi="Arial" w:cs="Arial"/>
          <w:sz w:val="22"/>
          <w:szCs w:val="22"/>
        </w:rPr>
        <w:t xml:space="preserve">:    </w:t>
      </w:r>
    </w:p>
    <w:p w:rsidR="00D56154" w:rsidRPr="008E659F" w:rsidRDefault="00124675" w:rsidP="003952CD">
      <w:pPr>
        <w:widowControl w:val="0"/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>
        <w:rPr>
          <w:rFonts w:ascii="Arial" w:hAnsi="Arial" w:cs="Arial"/>
          <w:sz w:val="22"/>
          <w:szCs w:val="22"/>
        </w:rPr>
        <w:tab/>
      </w:r>
      <w:r w:rsidR="00D56154" w:rsidRPr="008E659F">
        <w:rPr>
          <w:rFonts w:ascii="Arial" w:hAnsi="Arial" w:cs="Arial"/>
          <w:sz w:val="22"/>
          <w:szCs w:val="22"/>
        </w:rPr>
        <w:t xml:space="preserve"> </w:t>
      </w:r>
    </w:p>
    <w:p w:rsidR="00453B0B" w:rsidRPr="008E659F" w:rsidRDefault="00453B0B" w:rsidP="00453B0B">
      <w:pPr>
        <w:widowControl w:val="0"/>
        <w:tabs>
          <w:tab w:val="num" w:pos="1701"/>
        </w:tabs>
        <w:ind w:left="360"/>
        <w:jc w:val="both"/>
        <w:rPr>
          <w:rFonts w:ascii="Arial" w:hAnsi="Arial" w:cs="Arial"/>
          <w:sz w:val="22"/>
          <w:szCs w:val="22"/>
        </w:rPr>
      </w:pPr>
    </w:p>
    <w:sectPr w:rsidR="00453B0B" w:rsidRPr="008E659F" w:rsidSect="00124675">
      <w:headerReference w:type="default" r:id="rId7"/>
      <w:pgSz w:w="11907" w:h="16840" w:code="9"/>
      <w:pgMar w:top="1985" w:right="1418" w:bottom="907" w:left="1418" w:header="197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A9A" w:rsidRDefault="000D3A9A">
      <w:r>
        <w:separator/>
      </w:r>
    </w:p>
  </w:endnote>
  <w:endnote w:type="continuationSeparator" w:id="0">
    <w:p w:rsidR="000D3A9A" w:rsidRDefault="000D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A9A" w:rsidRDefault="000D3A9A">
      <w:r>
        <w:separator/>
      </w:r>
    </w:p>
  </w:footnote>
  <w:footnote w:type="continuationSeparator" w:id="0">
    <w:p w:rsidR="000D3A9A" w:rsidRDefault="000D3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F5" w:rsidRPr="000400F9" w:rsidRDefault="00E36A3D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CF5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DC7CF5">
      <w:rPr>
        <w:rFonts w:ascii="Arial" w:hAnsi="Arial" w:cs="Arial"/>
        <w:b/>
        <w:sz w:val="22"/>
        <w:szCs w:val="22"/>
        <w:u w:val="single"/>
      </w:rPr>
      <w:t>February 2010</w:t>
    </w:r>
  </w:p>
  <w:p w:rsidR="00DC7CF5" w:rsidRDefault="00DC7CF5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6E294B">
      <w:rPr>
        <w:rFonts w:ascii="Arial" w:hAnsi="Arial" w:cs="Arial"/>
        <w:b/>
        <w:sz w:val="22"/>
        <w:szCs w:val="22"/>
        <w:u w:val="single"/>
      </w:rPr>
      <w:t>Strategic Response to the State Penalties Enforcement Registry outstanding fine pool</w:t>
    </w:r>
    <w:r>
      <w:rPr>
        <w:rFonts w:ascii="Arial" w:hAnsi="Arial" w:cs="Arial"/>
        <w:b/>
        <w:sz w:val="22"/>
        <w:szCs w:val="22"/>
        <w:u w:val="single"/>
      </w:rPr>
      <w:t xml:space="preserve"> </w:t>
    </w:r>
  </w:p>
  <w:p w:rsidR="00DC7CF5" w:rsidRDefault="00DC7CF5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Attorney-General and Minister for Industrial Relations </w:t>
    </w:r>
  </w:p>
  <w:p w:rsidR="00DC7CF5" w:rsidRPr="000400F9" w:rsidRDefault="00DC7CF5" w:rsidP="007D3B9D">
    <w:pPr>
      <w:pStyle w:val="Header"/>
      <w:pBdr>
        <w:bottom w:val="single" w:sz="8" w:space="1" w:color="auto"/>
      </w:pBdr>
      <w:spacing w:line="60" w:lineRule="exact"/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2B12"/>
    <w:multiLevelType w:val="hybridMultilevel"/>
    <w:tmpl w:val="331866F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FCBD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05AB6F6">
      <w:start w:val="1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72E34"/>
    <w:multiLevelType w:val="multilevel"/>
    <w:tmpl w:val="9348C0EC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90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EF565FC"/>
    <w:multiLevelType w:val="hybridMultilevel"/>
    <w:tmpl w:val="628E587A"/>
    <w:lvl w:ilvl="0" w:tplc="24B48D42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sz w:val="20"/>
        <w:szCs w:val="20"/>
      </w:rPr>
    </w:lvl>
    <w:lvl w:ilvl="1" w:tplc="700038C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24B48D42">
      <w:start w:val="1"/>
      <w:numFmt w:val="bullet"/>
      <w:lvlText w:val="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  <w:sz w:val="20"/>
        <w:szCs w:val="20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D61C06"/>
    <w:multiLevelType w:val="multilevel"/>
    <w:tmpl w:val="9CDE737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pacing w:val="20"/>
        <w:position w:val="0"/>
      </w:rPr>
    </w:lvl>
    <w:lvl w:ilvl="1">
      <w:start w:val="1"/>
      <w:numFmt w:val="lowerLetter"/>
      <w:lvlText w:val="(%2)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45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95"/>
        </w:tabs>
        <w:ind w:left="2495" w:hanging="45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948"/>
        </w:tabs>
        <w:ind w:left="2948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948"/>
        </w:tabs>
        <w:ind w:left="2948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948"/>
        </w:tabs>
        <w:ind w:left="2948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90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948"/>
        </w:tabs>
        <w:ind w:left="2948" w:hanging="453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847EF"/>
    <w:multiLevelType w:val="multilevel"/>
    <w:tmpl w:val="2396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176F87"/>
    <w:multiLevelType w:val="hybridMultilevel"/>
    <w:tmpl w:val="AAD64B4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0038C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24B48D42">
      <w:start w:val="1"/>
      <w:numFmt w:val="bullet"/>
      <w:lvlText w:val="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  <w:sz w:val="20"/>
        <w:szCs w:val="20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6"/>
  </w:num>
  <w:num w:numId="5">
    <w:abstractNumId w:val="4"/>
  </w:num>
  <w:num w:numId="6">
    <w:abstractNumId w:val="15"/>
  </w:num>
  <w:num w:numId="7">
    <w:abstractNumId w:val="14"/>
  </w:num>
  <w:num w:numId="8">
    <w:abstractNumId w:val="12"/>
  </w:num>
  <w:num w:numId="9">
    <w:abstractNumId w:val="11"/>
  </w:num>
  <w:num w:numId="10">
    <w:abstractNumId w:val="8"/>
  </w:num>
  <w:num w:numId="11">
    <w:abstractNumId w:val="7"/>
  </w:num>
  <w:num w:numId="12">
    <w:abstractNumId w:val="0"/>
  </w:num>
  <w:num w:numId="13">
    <w:abstractNumId w:val="9"/>
  </w:num>
  <w:num w:numId="14">
    <w:abstractNumId w:val="2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9C"/>
    <w:rsid w:val="00021B34"/>
    <w:rsid w:val="00021DFA"/>
    <w:rsid w:val="000400F9"/>
    <w:rsid w:val="000B545C"/>
    <w:rsid w:val="000D3A9A"/>
    <w:rsid w:val="001141E1"/>
    <w:rsid w:val="00124675"/>
    <w:rsid w:val="00133013"/>
    <w:rsid w:val="00133A34"/>
    <w:rsid w:val="00160524"/>
    <w:rsid w:val="001771E5"/>
    <w:rsid w:val="00254E35"/>
    <w:rsid w:val="0028053C"/>
    <w:rsid w:val="002F57E4"/>
    <w:rsid w:val="00314FEB"/>
    <w:rsid w:val="0032048B"/>
    <w:rsid w:val="00346156"/>
    <w:rsid w:val="00354A7F"/>
    <w:rsid w:val="00382380"/>
    <w:rsid w:val="003952CD"/>
    <w:rsid w:val="003A269C"/>
    <w:rsid w:val="003A2E0F"/>
    <w:rsid w:val="003C3732"/>
    <w:rsid w:val="00435BE5"/>
    <w:rsid w:val="00453B0B"/>
    <w:rsid w:val="0046499C"/>
    <w:rsid w:val="0048019C"/>
    <w:rsid w:val="00486A99"/>
    <w:rsid w:val="004E6C38"/>
    <w:rsid w:val="00555FA4"/>
    <w:rsid w:val="0056401D"/>
    <w:rsid w:val="00581829"/>
    <w:rsid w:val="005B1D9B"/>
    <w:rsid w:val="006100CC"/>
    <w:rsid w:val="0063498A"/>
    <w:rsid w:val="006350C6"/>
    <w:rsid w:val="00644076"/>
    <w:rsid w:val="006631CF"/>
    <w:rsid w:val="00682036"/>
    <w:rsid w:val="00684B96"/>
    <w:rsid w:val="006B3B54"/>
    <w:rsid w:val="006D0869"/>
    <w:rsid w:val="006E294B"/>
    <w:rsid w:val="006E6713"/>
    <w:rsid w:val="006F0626"/>
    <w:rsid w:val="007060D7"/>
    <w:rsid w:val="00726F36"/>
    <w:rsid w:val="007A25F4"/>
    <w:rsid w:val="007A6599"/>
    <w:rsid w:val="007D3B9D"/>
    <w:rsid w:val="007D5CD8"/>
    <w:rsid w:val="007F52D6"/>
    <w:rsid w:val="0082040E"/>
    <w:rsid w:val="00845D3E"/>
    <w:rsid w:val="008A5F1B"/>
    <w:rsid w:val="008B7E17"/>
    <w:rsid w:val="008D39A5"/>
    <w:rsid w:val="008E659F"/>
    <w:rsid w:val="008F44CD"/>
    <w:rsid w:val="00922A5B"/>
    <w:rsid w:val="00940E07"/>
    <w:rsid w:val="009A3EE7"/>
    <w:rsid w:val="009D0C12"/>
    <w:rsid w:val="009F5476"/>
    <w:rsid w:val="009F7EE8"/>
    <w:rsid w:val="00A20C0E"/>
    <w:rsid w:val="00A30F55"/>
    <w:rsid w:val="00A44DA3"/>
    <w:rsid w:val="00AA128C"/>
    <w:rsid w:val="00AB6637"/>
    <w:rsid w:val="00AE1995"/>
    <w:rsid w:val="00B40BDF"/>
    <w:rsid w:val="00B6472E"/>
    <w:rsid w:val="00B71ED0"/>
    <w:rsid w:val="00C07656"/>
    <w:rsid w:val="00C61F9C"/>
    <w:rsid w:val="00C805EC"/>
    <w:rsid w:val="00C8204F"/>
    <w:rsid w:val="00C85B71"/>
    <w:rsid w:val="00CE6FBA"/>
    <w:rsid w:val="00D54601"/>
    <w:rsid w:val="00D56154"/>
    <w:rsid w:val="00DC7CF5"/>
    <w:rsid w:val="00DD31B5"/>
    <w:rsid w:val="00DD3CD5"/>
    <w:rsid w:val="00DD497C"/>
    <w:rsid w:val="00DF4650"/>
    <w:rsid w:val="00E36A3D"/>
    <w:rsid w:val="00E463C2"/>
    <w:rsid w:val="00E83BA0"/>
    <w:rsid w:val="00EA00BF"/>
    <w:rsid w:val="00F4049B"/>
    <w:rsid w:val="00F756F8"/>
    <w:rsid w:val="00FB4838"/>
    <w:rsid w:val="00FB54A6"/>
    <w:rsid w:val="00FE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paragraph" w:customStyle="1" w:styleId="Cabinet2text">
    <w:name w:val="Cabinet 2 text"/>
    <w:basedOn w:val="Normal"/>
    <w:rsid w:val="00453B0B"/>
    <w:pPr>
      <w:numPr>
        <w:ilvl w:val="1"/>
        <w:numId w:val="14"/>
      </w:numPr>
      <w:spacing w:before="120"/>
      <w:jc w:val="both"/>
    </w:pPr>
    <w:rPr>
      <w:szCs w:val="20"/>
    </w:rPr>
  </w:style>
  <w:style w:type="paragraph" w:customStyle="1" w:styleId="Cabinet3text">
    <w:name w:val="Cabinet 3 text"/>
    <w:basedOn w:val="Cabinet2text"/>
    <w:rsid w:val="00453B0B"/>
    <w:pPr>
      <w:numPr>
        <w:ilvl w:val="2"/>
      </w:numPr>
    </w:pPr>
  </w:style>
  <w:style w:type="paragraph" w:customStyle="1" w:styleId="Cabinet4text">
    <w:name w:val="Cabinet 4 text"/>
    <w:basedOn w:val="Cabinet2text"/>
    <w:rsid w:val="00453B0B"/>
    <w:pPr>
      <w:numPr>
        <w:ilvl w:val="3"/>
      </w:numPr>
    </w:pPr>
  </w:style>
  <w:style w:type="numbering" w:customStyle="1" w:styleId="cabinet">
    <w:name w:val="cabinet"/>
    <w:rsid w:val="00453B0B"/>
    <w:pPr>
      <w:numPr>
        <w:numId w:val="14"/>
      </w:numPr>
    </w:pPr>
  </w:style>
  <w:style w:type="paragraph" w:customStyle="1" w:styleId="StyleJustified">
    <w:name w:val="Style Justified"/>
    <w:basedOn w:val="Normal"/>
    <w:rsid w:val="00453B0B"/>
    <w:pPr>
      <w:numPr>
        <w:numId w:val="14"/>
      </w:numPr>
      <w:spacing w:before="240"/>
      <w:jc w:val="both"/>
    </w:pPr>
    <w:rPr>
      <w:szCs w:val="20"/>
    </w:rPr>
  </w:style>
  <w:style w:type="paragraph" w:customStyle="1" w:styleId="cabinet5text">
    <w:name w:val="cabinet 5 text"/>
    <w:basedOn w:val="Cabinet2text"/>
    <w:rsid w:val="00453B0B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ridesjk.JUSTICE\Local%20Settings\Temporary%20Internet%20Files\OLK11\Decision%20Summary%20Template%20v0%2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Decision Summary Template v0 4.dot</Template>
  <TotalTime>0</TotalTime>
  <Pages>1</Pages>
  <Words>168</Words>
  <Characters>987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1158</CharactersWithSpaces>
  <SharedDoc>false</SharedDoc>
  <HyperlinkBase>https://www.cabinet.qld.gov.au/documents/2010/Feb/Strategic resp to SPER fine pool/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fines,SPER</cp:keywords>
  <dc:description/>
  <cp:lastModifiedBy/>
  <cp:revision>2</cp:revision>
  <cp:lastPrinted>2010-04-20T07:12:00Z</cp:lastPrinted>
  <dcterms:created xsi:type="dcterms:W3CDTF">2017-10-24T22:19:00Z</dcterms:created>
  <dcterms:modified xsi:type="dcterms:W3CDTF">2018-03-06T01:02:00Z</dcterms:modified>
  <cp:category>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-1738442220</vt:i4>
  </property>
  <property fmtid="{D5CDD505-2E9C-101B-9397-08002B2CF9AE}" pid="3" name="_NewReviewCycle">
    <vt:lpwstr/>
  </property>
  <property fmtid="{D5CDD505-2E9C-101B-9397-08002B2CF9AE}" pid="4" name="_PreviousAdHocReviewCycleID">
    <vt:i4>-677230862</vt:i4>
  </property>
  <property fmtid="{D5CDD505-2E9C-101B-9397-08002B2CF9AE}" pid="5" name="_ReviewingToolsShownOnce">
    <vt:lpwstr/>
  </property>
</Properties>
</file>